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61318">
      <w:pPr>
        <w:jc w:val="center"/>
        <w:rPr>
          <w:rFonts w:ascii="黑体" w:hAnsi="黑体" w:eastAsia="黑体"/>
          <w:b/>
          <w:bCs/>
          <w:sz w:val="44"/>
          <w:szCs w:val="44"/>
        </w:rPr>
      </w:pPr>
    </w:p>
    <w:p w14:paraId="13025C0C">
      <w:pPr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奖助学金项目</w:t>
      </w:r>
    </w:p>
    <w:p w14:paraId="03C7D1D6">
      <w:pPr>
        <w:jc w:val="center"/>
        <w:rPr>
          <w:rFonts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支出绩效自评报告</w:t>
      </w:r>
    </w:p>
    <w:p w14:paraId="1F21381F"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7A73C59">
      <w:pPr>
        <w:spacing w:line="620" w:lineRule="exact"/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一、项目基本情况</w:t>
      </w:r>
    </w:p>
    <w:p w14:paraId="6E47C96E">
      <w:pPr>
        <w:spacing w:line="620" w:lineRule="exact"/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</w:t>
      </w:r>
      <w:r>
        <w:rPr>
          <w:rFonts w:hint="eastAsia" w:eastAsia="仿宋_GB2312"/>
          <w:b/>
          <w:bCs/>
          <w:sz w:val="32"/>
          <w:szCs w:val="32"/>
        </w:rPr>
        <w:t>项目概况</w:t>
      </w:r>
    </w:p>
    <w:p w14:paraId="4BA0DE67">
      <w:pPr>
        <w:pStyle w:val="11"/>
        <w:ind w:firstLine="640"/>
        <w:rPr>
          <w:szCs w:val="32"/>
        </w:rPr>
      </w:pPr>
      <w:r>
        <w:rPr>
          <w:rFonts w:hint="eastAsia"/>
          <w:szCs w:val="32"/>
        </w:rPr>
        <w:t>1.项目决策背景</w:t>
      </w:r>
    </w:p>
    <w:p w14:paraId="353C7459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根据《湖南省学生资助资金管理办法》（湘财教[2022]13号）及相关评选文件，对符合条件的学生进行资助。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537D2D4A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2.项目主要内容</w:t>
      </w:r>
    </w:p>
    <w:p w14:paraId="36ECAB01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奖助学金项目包括国家奖学金，国家励志奖学金，国家助学金。一年评比一次，评选对象为我校在读学生，奖励标准为（1）国家奖学金为每生每年8000元；（2）国家励志奖学金为每生每年5000元；（3）国家助学金为每生每年4400元、每生每年3300元、每生每年2200元，共计三个档次。</w:t>
      </w:r>
    </w:p>
    <w:p w14:paraId="026B4C7C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3.项目组织管理机构</w:t>
      </w:r>
    </w:p>
    <w:p w14:paraId="51BE9EBB">
      <w:pPr>
        <w:pStyle w:val="11"/>
        <w:ind w:firstLine="518" w:firstLineChars="162"/>
        <w:rPr>
          <w:rFonts w:hint="eastAsia"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学生工作处，下设资助中心。</w:t>
      </w:r>
    </w:p>
    <w:p w14:paraId="7DD463C3">
      <w:pPr>
        <w:spacing w:line="62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预算资金使用管理情况</w:t>
      </w:r>
    </w:p>
    <w:p w14:paraId="120F2279">
      <w:pPr>
        <w:spacing w:line="62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预算资金安排及管理情况</w:t>
      </w:r>
    </w:p>
    <w:p w14:paraId="73C32483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（1）资金来源及拨付流程</w:t>
      </w:r>
    </w:p>
    <w:p w14:paraId="645B5C1B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奖助学金项目资金935.55万元来源中央财政资金625.81万元和地方资金309.74万元。奖助学金资助由学生提交申请，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各二级学院评审，</w:t>
      </w:r>
      <w:r>
        <w:rPr>
          <w:rFonts w:hint="eastAsia" w:ascii="仿宋" w:hAnsi="仿宋" w:eastAsia="仿宋" w:cs="仿宋"/>
          <w:sz w:val="32"/>
          <w:szCs w:val="32"/>
        </w:rPr>
        <w:t>学生工作处资助中心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复核汇总</w:t>
      </w:r>
      <w:r>
        <w:rPr>
          <w:rFonts w:hint="eastAsia" w:ascii="仿宋" w:hAnsi="仿宋" w:eastAsia="仿宋" w:cs="仿宋"/>
          <w:sz w:val="32"/>
          <w:szCs w:val="32"/>
        </w:rPr>
        <w:t>，再上报省资助中心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核定。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省资助中心核定无误后，</w:t>
      </w:r>
      <w:r>
        <w:rPr>
          <w:rFonts w:hint="eastAsia" w:ascii="仿宋" w:hAnsi="仿宋" w:eastAsia="仿宋" w:cs="仿宋"/>
          <w:sz w:val="32"/>
          <w:szCs w:val="32"/>
        </w:rPr>
        <w:t>资金由上级预算部门直接下拨到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本单位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979AE26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（2）资金到位情况</w:t>
      </w:r>
    </w:p>
    <w:p w14:paraId="43027B6A">
      <w:pPr>
        <w:spacing w:line="620" w:lineRule="exact"/>
        <w:ind w:firstLine="640" w:firstLineChars="200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2月13日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下达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452万元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6月20日分别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下达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173.81万元、309.74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，全年下达资金总计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935.55万元。</w:t>
      </w:r>
    </w:p>
    <w:p w14:paraId="13A0A9AE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（3）资金使用情况</w:t>
      </w:r>
    </w:p>
    <w:p w14:paraId="005AF630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奖助学金项目资金于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12月22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日全部发放到位。</w:t>
      </w:r>
    </w:p>
    <w:p w14:paraId="223838E2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（4）资金管理制度及执行情况</w:t>
      </w:r>
    </w:p>
    <w:p w14:paraId="51EB41F5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资金管理实行专项审核和审批，严格按全年预算数执行。</w:t>
      </w:r>
    </w:p>
    <w:p w14:paraId="52F9B9D2">
      <w:pPr>
        <w:spacing w:line="62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</w:t>
      </w:r>
      <w:r>
        <w:rPr>
          <w:rFonts w:hint="eastAsia" w:ascii="Times New Roman" w:hAnsi="Times New Roman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项目组织实施管理情况</w:t>
      </w:r>
    </w:p>
    <w:p w14:paraId="67BFFBF6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奖助学金由各二级学院评审，学生工作处资助中心核实，再上报省资助中心核定，按学校“三重一大”决策程序，提交会议审议，通过后按程序发放。</w:t>
      </w:r>
    </w:p>
    <w:p w14:paraId="4CB06F35">
      <w:pPr>
        <w:spacing w:line="620" w:lineRule="exact"/>
        <w:ind w:firstLine="643" w:firstLineChars="20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</w:t>
      </w:r>
      <w:r>
        <w:rPr>
          <w:rFonts w:hint="eastAsia" w:ascii="Times New Roman" w:hAnsi="Times New Roman" w:cs="Times New Roman"/>
          <w:b/>
          <w:bCs/>
          <w:sz w:val="32"/>
          <w:szCs w:val="32"/>
        </w:rPr>
        <w:t>预算绩效目标情况</w:t>
      </w:r>
    </w:p>
    <w:p w14:paraId="43E0C5EF">
      <w:pPr>
        <w:spacing w:line="620" w:lineRule="exact"/>
        <w:ind w:firstLine="42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/>
          <w:szCs w:val="32"/>
        </w:rPr>
        <w:t xml:space="preserve">  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 xml:space="preserve"> 1.绩效目标</w:t>
      </w:r>
    </w:p>
    <w:p w14:paraId="1252E0B6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（1）无学生因贫困失学；</w:t>
      </w:r>
    </w:p>
    <w:p w14:paraId="291FC3FF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（2）全面实施精准化资助，实施资助信息化管理；</w:t>
      </w:r>
    </w:p>
    <w:p w14:paraId="599AE492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（3）各项资助资金及时足额发放。</w:t>
      </w:r>
    </w:p>
    <w:p w14:paraId="7DE7E664">
      <w:pPr>
        <w:spacing w:line="620" w:lineRule="exact"/>
        <w:ind w:firstLine="643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 xml:space="preserve"> 2.绩效指标</w:t>
      </w:r>
    </w:p>
    <w:p w14:paraId="698DA0E4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（1）数量指标</w:t>
      </w:r>
    </w:p>
    <w:p w14:paraId="42726201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国家奖学金；国家励志奖学金；国家助学金。</w:t>
      </w:r>
    </w:p>
    <w:p w14:paraId="1AA20C8F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（2）质量指标</w:t>
      </w:r>
    </w:p>
    <w:p w14:paraId="3855D6FB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国家助学金平均资助标准每人每年3300元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实施分档资助，分三档实施。</w:t>
      </w:r>
    </w:p>
    <w:p w14:paraId="44D48B1C">
      <w:pPr>
        <w:spacing w:line="62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（3）时效指标</w:t>
      </w:r>
    </w:p>
    <w:p w14:paraId="20785ED1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资助资金及时足额发放。</w:t>
      </w:r>
    </w:p>
    <w:p w14:paraId="07BC8598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（4）成本指标</w:t>
      </w:r>
    </w:p>
    <w:p w14:paraId="74082601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指标分配完成情况100%完成。</w:t>
      </w:r>
    </w:p>
    <w:p w14:paraId="3E250DC8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二、绩效评价工作情况</w:t>
      </w:r>
    </w:p>
    <w:p w14:paraId="2E8E8042">
      <w:pPr>
        <w:pStyle w:val="11"/>
        <w:ind w:firstLine="643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（一）绩效评价目的</w:t>
      </w:r>
    </w:p>
    <w:p w14:paraId="52B5A609">
      <w:pPr>
        <w:widowControl/>
        <w:shd w:val="clear" w:color="auto" w:fill="FFFFFF"/>
        <w:ind w:firstLine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核资金支出效率及综合效果，及时总结经验，分析存在的问题和原因，切实采取有效措施进一步改进和加强财政资金管理，不断提高资金使用效率，为后续财政资金预算及使用提供依据。通过绩效评价，树立绩效管理理念，做好预算绩效管理，提高财政资金效益，优化财政支出结构。</w:t>
      </w:r>
    </w:p>
    <w:p w14:paraId="2BDB2C36">
      <w:pPr>
        <w:pStyle w:val="11"/>
        <w:ind w:firstLine="643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（二）被评价单位、绩效评价范围与时段</w:t>
      </w:r>
    </w:p>
    <w:p w14:paraId="2E6E3BB0">
      <w:pPr>
        <w:widowControl/>
        <w:shd w:val="clear" w:color="auto" w:fill="FFFFFF"/>
        <w:ind w:firstLine="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被评价单位为学生工作处资助中心；</w:t>
      </w:r>
    </w:p>
    <w:p w14:paraId="7E25B43C">
      <w:pPr>
        <w:widowControl/>
        <w:shd w:val="clear" w:color="auto" w:fill="FFFFFF"/>
        <w:ind w:firstLine="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绩效评价范围与时段：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</w:rPr>
        <w:t>3年奖助学金935.55万元，项目各项计划指标完成情况和年度资金使用情况。</w:t>
      </w:r>
    </w:p>
    <w:p w14:paraId="123BCAFE">
      <w:pPr>
        <w:pStyle w:val="11"/>
        <w:ind w:firstLine="643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（三）绩效评价原则、评价指标体系、评价方法</w:t>
      </w:r>
    </w:p>
    <w:p w14:paraId="33498213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1.绩效评价原则</w:t>
      </w:r>
    </w:p>
    <w:p w14:paraId="260FDE6F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（1）科学规范原则。绩效评价应当严格执行规定的程序，按照科学可行的要求，采用定量与定性分析相结合的方法。</w:t>
      </w:r>
    </w:p>
    <w:p w14:paraId="49D4FF65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（2）公正公开原则。绩效评价应当符合真实、客观、公正的要求，依法公开并接受监督。</w:t>
      </w:r>
    </w:p>
    <w:p w14:paraId="0B56B2F1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（3）绩效相关原则。绩效评价应当针对具体支出及其产出绩效进行，评价结果应当清晰反映支出和产出绩效之间的紧密对应关系。</w:t>
      </w:r>
    </w:p>
    <w:p w14:paraId="44B36D97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2.绩效评价指标体系</w:t>
      </w:r>
    </w:p>
    <w:p w14:paraId="0F0E8642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根据绩效评价的基本原理、原则和项目特点，结合《项目支出绩效评价管理办法》、《湖南省预算支出绩效评价管理办法》、《湖南省学生资助资金管理办法》、学生工作处资助中心工作职责等有关要求设置，本次绩效评价指标体系分别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预算执行率、</w:t>
      </w:r>
      <w:r>
        <w:rPr>
          <w:rFonts w:hint="eastAsia" w:ascii="仿宋" w:hAnsi="仿宋" w:eastAsia="仿宋" w:cs="仿宋"/>
          <w:sz w:val="32"/>
          <w:szCs w:val="32"/>
        </w:rPr>
        <w:t>产出指标、效益指标、满意度指标等多个方面对其财政支出进行评价，详见附件1：</w:t>
      </w:r>
    </w:p>
    <w:p w14:paraId="409DF3BA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3.评价方法</w:t>
      </w:r>
    </w:p>
    <w:p w14:paraId="03BE0A23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评价方法采用数据分析、座谈、询问查证等。</w:t>
      </w:r>
    </w:p>
    <w:p w14:paraId="51A34A6E">
      <w:pPr>
        <w:spacing w:line="600" w:lineRule="exact"/>
        <w:ind w:firstLine="643" w:firstLineChars="200"/>
        <w:rPr>
          <w:rFonts w:eastAsia="黑体"/>
          <w:b/>
          <w:bCs/>
          <w:sz w:val="32"/>
          <w:szCs w:val="32"/>
        </w:rPr>
      </w:pPr>
      <w:r>
        <w:rPr>
          <w:rFonts w:hint="eastAsia" w:eastAsia="黑体"/>
          <w:b/>
          <w:bCs/>
          <w:sz w:val="32"/>
          <w:szCs w:val="32"/>
        </w:rPr>
        <w:t>三、主要绩效及评价结论</w:t>
      </w:r>
    </w:p>
    <w:p w14:paraId="385FBCCA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（一）社会效益</w:t>
      </w:r>
    </w:p>
    <w:p w14:paraId="5EDFF615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学生资助政策知晓率。</w:t>
      </w:r>
    </w:p>
    <w:p w14:paraId="029F1514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（二）生态效益</w:t>
      </w:r>
    </w:p>
    <w:p w14:paraId="7B4E921D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因贫失学现象。</w:t>
      </w:r>
    </w:p>
    <w:p w14:paraId="770B8C24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（三）可持续影响</w:t>
      </w:r>
    </w:p>
    <w:p w14:paraId="24A79769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家庭经济困难学生资助需求。</w:t>
      </w:r>
    </w:p>
    <w:p w14:paraId="40F8142E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（四）满意度情况</w:t>
      </w:r>
    </w:p>
    <w:p w14:paraId="10E88F32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受助学生满意度。</w:t>
      </w:r>
    </w:p>
    <w:p w14:paraId="2AD3EFD1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（五）评价结论</w:t>
      </w:r>
    </w:p>
    <w:p w14:paraId="27DF0057">
      <w:pPr>
        <w:spacing w:line="60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经自评，本次评价总分100分，自评得分99分，评价等级为优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0CB1F4A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四、绩效评价指标分析</w:t>
      </w:r>
    </w:p>
    <w:p w14:paraId="4F1190FE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（一）项目决策情况</w:t>
      </w:r>
    </w:p>
    <w:p w14:paraId="45897951">
      <w:pPr>
        <w:spacing w:line="620" w:lineRule="exact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2023年怀化职业技术学院对该项资金进行了预算编制，按照工作内容对专项资金进行量化分解，资金分配合理。</w:t>
      </w:r>
    </w:p>
    <w:p w14:paraId="5DB77965">
      <w:pPr>
        <w:spacing w:line="620" w:lineRule="exact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该项目绩效目标是依据《湖南省学生资助资金管理办法》、学生管理有关文件、学生工作处资助中心工作职责等有关要求设置，绩效目标合理。同时设置了数量、质量、时效、成本、社会效益、经济效益、可持续影响和满意度等指标，绩效指标明确且均量化，与实际工作内容相符合。</w:t>
      </w:r>
    </w:p>
    <w:p w14:paraId="6077120D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（二）项目过程情况</w:t>
      </w:r>
    </w:p>
    <w:p w14:paraId="66642837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1.资金管理</w:t>
      </w:r>
    </w:p>
    <w:p w14:paraId="3AE2CAB0">
      <w:pPr>
        <w:pStyle w:val="11"/>
        <w:ind w:firstLine="640"/>
        <w:rPr>
          <w:rFonts w:ascii="仿宋" w:hAnsi="仿宋" w:eastAsia="仿宋" w:cs="仿宋"/>
          <w:kern w:val="2"/>
          <w:szCs w:val="32"/>
        </w:rPr>
      </w:pPr>
      <w:r>
        <w:rPr>
          <w:rFonts w:hint="eastAsia" w:ascii="仿宋" w:hAnsi="仿宋" w:eastAsia="仿宋" w:cs="仿宋"/>
          <w:kern w:val="2"/>
          <w:szCs w:val="32"/>
        </w:rPr>
        <w:t>根据绩效目标，严格管理和使用好专项资金。项目资金实际到位</w:t>
      </w:r>
      <w:r>
        <w:rPr>
          <w:rFonts w:hint="eastAsia" w:ascii="仿宋" w:hAnsi="仿宋" w:eastAsia="仿宋" w:cs="仿宋"/>
          <w:szCs w:val="32"/>
        </w:rPr>
        <w:t>935.55万元，实际支出935.55万元，执行率100%。</w:t>
      </w:r>
      <w:r>
        <w:rPr>
          <w:rFonts w:hint="eastAsia" w:ascii="仿宋" w:hAnsi="仿宋" w:eastAsia="仿宋" w:cs="仿宋"/>
          <w:kern w:val="2"/>
          <w:szCs w:val="32"/>
        </w:rPr>
        <w:t xml:space="preserve"> </w:t>
      </w:r>
    </w:p>
    <w:p w14:paraId="67F41E4C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2.项目实施</w:t>
      </w:r>
    </w:p>
    <w:p w14:paraId="726D7E0D">
      <w:pPr>
        <w:pStyle w:val="11"/>
        <w:ind w:firstLine="640"/>
        <w:rPr>
          <w:rFonts w:ascii="仿宋" w:hAnsi="仿宋" w:eastAsia="仿宋" w:cs="仿宋"/>
          <w:kern w:val="2"/>
          <w:szCs w:val="32"/>
        </w:rPr>
      </w:pPr>
      <w:r>
        <w:rPr>
          <w:rFonts w:hint="eastAsia" w:ascii="仿宋" w:hAnsi="仿宋" w:eastAsia="仿宋" w:cs="仿宋"/>
          <w:szCs w:val="32"/>
        </w:rPr>
        <w:t>2023年奖助学金申报程序公开透明，严格依照要求开展相关工作。</w:t>
      </w:r>
      <w:r>
        <w:rPr>
          <w:rFonts w:hint="eastAsia" w:ascii="仿宋" w:hAnsi="仿宋" w:eastAsia="仿宋" w:cs="仿宋"/>
          <w:kern w:val="2"/>
          <w:szCs w:val="32"/>
        </w:rPr>
        <w:t>奖助学金评审工作在每学年第一学期集中开展。学校在学期初下发通知，各二级学院根据奖项及指标等评审要求，组织学生申请。评选结果在全校公示，公示时间不少于3个工作日，无异议后将材料报学生处审核。</w:t>
      </w:r>
    </w:p>
    <w:p w14:paraId="015AB6DB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（三）项目产出情况</w:t>
      </w:r>
    </w:p>
    <w:p w14:paraId="566F85F6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1.产出数量</w:t>
      </w:r>
    </w:p>
    <w:p w14:paraId="201D1396">
      <w:pPr>
        <w:pStyle w:val="11"/>
        <w:ind w:firstLine="640"/>
        <w:rPr>
          <w:rFonts w:ascii="仿宋" w:hAnsi="仿宋" w:eastAsia="仿宋" w:cs="仿宋"/>
          <w:kern w:val="2"/>
          <w:szCs w:val="32"/>
        </w:rPr>
      </w:pPr>
      <w:r>
        <w:rPr>
          <w:rFonts w:hint="eastAsia" w:ascii="仿宋" w:hAnsi="仿宋" w:eastAsia="仿宋" w:cs="仿宋"/>
          <w:kern w:val="2"/>
          <w:szCs w:val="32"/>
        </w:rPr>
        <w:t>国家奖学金7.2万元，国家励志奖学金154万元，国家助学金774.345万元。</w:t>
      </w:r>
    </w:p>
    <w:p w14:paraId="449B4C71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2.产出质量</w:t>
      </w:r>
    </w:p>
    <w:p w14:paraId="1B6BDEDD">
      <w:pPr>
        <w:pStyle w:val="11"/>
        <w:ind w:firstLine="640"/>
        <w:rPr>
          <w:rFonts w:ascii="仿宋" w:hAnsi="仿宋" w:eastAsia="仿宋" w:cs="仿宋"/>
          <w:kern w:val="2"/>
          <w:szCs w:val="32"/>
        </w:rPr>
      </w:pPr>
      <w:r>
        <w:rPr>
          <w:rFonts w:hint="eastAsia" w:ascii="仿宋" w:hAnsi="仿宋" w:eastAsia="仿宋" w:cs="仿宋"/>
          <w:kern w:val="2"/>
          <w:szCs w:val="32"/>
        </w:rPr>
        <w:t>国家助学金平均资助标准每人每年3300元，分三档实施。</w:t>
      </w:r>
    </w:p>
    <w:p w14:paraId="6C66A27A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3.产出成本</w:t>
      </w:r>
    </w:p>
    <w:p w14:paraId="37B25A89">
      <w:pPr>
        <w:pStyle w:val="11"/>
        <w:ind w:firstLine="640"/>
        <w:rPr>
          <w:rFonts w:ascii="仿宋" w:hAnsi="仿宋" w:eastAsia="仿宋" w:cs="仿宋"/>
          <w:kern w:val="2"/>
          <w:szCs w:val="32"/>
        </w:rPr>
      </w:pPr>
      <w:r>
        <w:rPr>
          <w:rFonts w:hint="eastAsia" w:ascii="仿宋" w:hAnsi="仿宋" w:eastAsia="仿宋" w:cs="仿宋"/>
          <w:kern w:val="2"/>
          <w:szCs w:val="32"/>
        </w:rPr>
        <w:t>指标分配完成情况</w:t>
      </w:r>
      <w:r>
        <w:rPr>
          <w:rFonts w:ascii="仿宋" w:hAnsi="仿宋" w:eastAsia="仿宋" w:cs="仿宋"/>
          <w:kern w:val="2"/>
          <w:szCs w:val="32"/>
        </w:rPr>
        <w:t>100%</w:t>
      </w:r>
      <w:r>
        <w:rPr>
          <w:rFonts w:hint="eastAsia" w:ascii="仿宋" w:hAnsi="仿宋" w:eastAsia="仿宋" w:cs="仿宋"/>
          <w:kern w:val="2"/>
          <w:szCs w:val="32"/>
        </w:rPr>
        <w:t>。</w:t>
      </w:r>
    </w:p>
    <w:p w14:paraId="1A342A21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4.产出时效</w:t>
      </w:r>
    </w:p>
    <w:p w14:paraId="1E5C6303">
      <w:pPr>
        <w:pStyle w:val="11"/>
        <w:ind w:firstLine="640"/>
        <w:rPr>
          <w:rFonts w:ascii="仿宋" w:hAnsi="仿宋" w:eastAsia="仿宋" w:cs="仿宋"/>
          <w:kern w:val="2"/>
          <w:szCs w:val="32"/>
        </w:rPr>
      </w:pPr>
      <w:r>
        <w:rPr>
          <w:rFonts w:hint="eastAsia" w:ascii="仿宋" w:hAnsi="仿宋" w:eastAsia="仿宋" w:cs="仿宋"/>
          <w:kern w:val="2"/>
          <w:szCs w:val="32"/>
        </w:rPr>
        <w:t>资助资金及时足额发放</w:t>
      </w:r>
      <w:r>
        <w:rPr>
          <w:rFonts w:ascii="仿宋" w:hAnsi="仿宋" w:eastAsia="仿宋" w:cs="仿宋"/>
          <w:kern w:val="2"/>
          <w:szCs w:val="32"/>
        </w:rPr>
        <w:t>100%</w:t>
      </w:r>
      <w:r>
        <w:rPr>
          <w:rFonts w:hint="eastAsia" w:ascii="仿宋" w:hAnsi="仿宋" w:eastAsia="仿宋" w:cs="仿宋"/>
          <w:kern w:val="2"/>
          <w:szCs w:val="32"/>
        </w:rPr>
        <w:t>。</w:t>
      </w:r>
    </w:p>
    <w:p w14:paraId="43121276">
      <w:pPr>
        <w:adjustRightInd w:val="0"/>
        <w:snapToGrid w:val="0"/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（四）项目效益情况</w:t>
      </w:r>
    </w:p>
    <w:p w14:paraId="1EA4DD85">
      <w:pPr>
        <w:pStyle w:val="11"/>
        <w:ind w:firstLine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1.经济效益</w:t>
      </w:r>
    </w:p>
    <w:p w14:paraId="35D2F00A">
      <w:pPr>
        <w:pStyle w:val="11"/>
        <w:ind w:firstLine="640"/>
        <w:rPr>
          <w:rFonts w:hint="eastAsia" w:ascii="仿宋" w:hAnsi="仿宋" w:eastAsia="仿宋"/>
          <w:color w:val="333333"/>
          <w:szCs w:val="32"/>
        </w:rPr>
      </w:pPr>
      <w:r>
        <w:rPr>
          <w:rFonts w:hint="eastAsia" w:ascii="仿宋" w:hAnsi="仿宋" w:eastAsia="仿宋"/>
          <w:color w:val="333333"/>
          <w:szCs w:val="32"/>
        </w:rPr>
        <w:t>资助标准稳定</w:t>
      </w:r>
    </w:p>
    <w:p w14:paraId="784F765D">
      <w:pPr>
        <w:pStyle w:val="11"/>
        <w:ind w:firstLine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2．社会效益</w:t>
      </w:r>
    </w:p>
    <w:p w14:paraId="1B7CB99C">
      <w:pPr>
        <w:pStyle w:val="11"/>
        <w:ind w:firstLine="640"/>
        <w:rPr>
          <w:rFonts w:hint="eastAsia" w:ascii="仿宋" w:hAnsi="仿宋" w:eastAsia="仿宋"/>
          <w:color w:val="333333"/>
          <w:szCs w:val="32"/>
        </w:rPr>
      </w:pPr>
      <w:r>
        <w:rPr>
          <w:rFonts w:hint="eastAsia" w:ascii="仿宋" w:hAnsi="仿宋" w:eastAsia="仿宋"/>
          <w:color w:val="333333"/>
          <w:szCs w:val="32"/>
        </w:rPr>
        <w:t>资助政策知晓率达到90%。</w:t>
      </w:r>
    </w:p>
    <w:p w14:paraId="1AE957D6">
      <w:pPr>
        <w:tabs>
          <w:tab w:val="left" w:pos="4973"/>
        </w:tabs>
        <w:ind w:firstLine="640" w:firstLineChars="200"/>
        <w:rPr>
          <w:rFonts w:ascii="宋体" w:hAnsi="宋体" w:cs="宋体"/>
          <w:kern w:val="0"/>
          <w:sz w:val="32"/>
        </w:rPr>
      </w:pPr>
      <w:r>
        <w:rPr>
          <w:rFonts w:hint="eastAsia" w:ascii="宋体" w:hAnsi="宋体" w:cs="宋体"/>
          <w:kern w:val="0"/>
          <w:sz w:val="32"/>
        </w:rPr>
        <w:t>3.生态效益</w:t>
      </w:r>
    </w:p>
    <w:p w14:paraId="04DB6F22">
      <w:pPr>
        <w:tabs>
          <w:tab w:val="left" w:pos="4973"/>
        </w:tabs>
        <w:ind w:firstLine="640" w:firstLineChars="200"/>
        <w:rPr>
          <w:rFonts w:hint="eastAsia"/>
          <w:sz w:val="32"/>
          <w:szCs w:val="32"/>
        </w:rPr>
      </w:pPr>
      <w:r>
        <w:rPr>
          <w:rFonts w:hint="eastAsia" w:ascii="仿宋" w:hAnsi="仿宋" w:eastAsia="仿宋"/>
          <w:color w:val="333333"/>
          <w:kern w:val="0"/>
          <w:sz w:val="32"/>
          <w:szCs w:val="32"/>
        </w:rPr>
        <w:t>无因贫失学现象。</w:t>
      </w:r>
      <w:r>
        <w:rPr>
          <w:sz w:val="32"/>
          <w:szCs w:val="32"/>
        </w:rPr>
        <w:tab/>
      </w:r>
    </w:p>
    <w:p w14:paraId="71431C47">
      <w:pPr>
        <w:pStyle w:val="11"/>
        <w:ind w:firstLine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4.可持续影响</w:t>
      </w:r>
    </w:p>
    <w:p w14:paraId="36A0C116">
      <w:pPr>
        <w:ind w:firstLine="640" w:firstLineChars="200"/>
        <w:rPr>
          <w:rFonts w:hint="eastAsia" w:ascii="仿宋" w:hAnsi="仿宋" w:eastAsia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/>
          <w:color w:val="333333"/>
          <w:kern w:val="0"/>
          <w:sz w:val="32"/>
          <w:szCs w:val="32"/>
        </w:rPr>
        <w:t>家庭经济困难学生资助需求基本满足。</w:t>
      </w:r>
    </w:p>
    <w:p w14:paraId="501C350B">
      <w:pPr>
        <w:pStyle w:val="11"/>
        <w:ind w:firstLine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5.满意度情况</w:t>
      </w:r>
    </w:p>
    <w:p w14:paraId="451E706B">
      <w:pPr>
        <w:pStyle w:val="11"/>
        <w:ind w:firstLine="640"/>
        <w:rPr>
          <w:rFonts w:hint="eastAsia" w:ascii="仿宋" w:hAnsi="仿宋" w:eastAsia="仿宋" w:cs="仿宋"/>
          <w:kern w:val="2"/>
          <w:szCs w:val="32"/>
        </w:rPr>
      </w:pPr>
      <w:r>
        <w:rPr>
          <w:rFonts w:hint="eastAsia" w:ascii="仿宋" w:hAnsi="仿宋" w:eastAsia="仿宋" w:cs="黑体"/>
          <w:color w:val="333333"/>
          <w:szCs w:val="32"/>
        </w:rPr>
        <w:t>受助学生满意度100%。</w:t>
      </w:r>
    </w:p>
    <w:p w14:paraId="4E8C1952">
      <w:pPr>
        <w:adjustRightInd w:val="0"/>
        <w:snapToGrid w:val="0"/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五、项目主要经验、存在的问题及建议</w:t>
      </w:r>
    </w:p>
    <w:p w14:paraId="7BBA71B2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（一）项目主要经验及做法</w:t>
      </w:r>
    </w:p>
    <w:p w14:paraId="48F41085">
      <w:pPr>
        <w:adjustRightInd w:val="0"/>
        <w:snapToGrid w:val="0"/>
        <w:spacing w:line="600" w:lineRule="exact"/>
        <w:ind w:firstLine="60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color w:val="333333"/>
          <w:sz w:val="30"/>
          <w:szCs w:val="30"/>
          <w:shd w:val="clear" w:color="auto" w:fill="FFFFFF"/>
        </w:rPr>
        <w:t>通过</w:t>
      </w:r>
      <w:r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</w:rPr>
        <w:t>202</w:t>
      </w:r>
      <w:r>
        <w:rPr>
          <w:rFonts w:hint="eastAsia" w:ascii="Times New Roman" w:hAnsi="Times New Roman" w:cs="Times New Roman"/>
          <w:color w:val="333333"/>
          <w:sz w:val="30"/>
          <w:szCs w:val="30"/>
          <w:shd w:val="clear" w:color="auto" w:fill="FFFFFF"/>
        </w:rPr>
        <w:t>3</w:t>
      </w:r>
      <w:r>
        <w:rPr>
          <w:rFonts w:hint="eastAsia" w:ascii="仿宋" w:hAnsi="仿宋" w:eastAsia="仿宋"/>
          <w:color w:val="333333"/>
          <w:sz w:val="30"/>
          <w:szCs w:val="30"/>
          <w:shd w:val="clear" w:color="auto" w:fill="FFFFFF"/>
        </w:rPr>
        <w:t>年奖助学金项目绩效评价工作的开展，进一步加强专项支出的绩效管理，完善业务和财务管理制度，健全和落实财务监控机制，有效提高专项资金的使用效益和效率，确保财政资金的使用绩效。</w:t>
      </w:r>
    </w:p>
    <w:p w14:paraId="202E1E74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（二）存在的问题</w:t>
      </w:r>
    </w:p>
    <w:p w14:paraId="36DD5A10"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资助政策学生知晓率未达到100%，宣传力度有待进一步提高。</w:t>
      </w:r>
    </w:p>
    <w:p w14:paraId="60A85F83">
      <w:pPr>
        <w:spacing w:line="62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（三）有关建议</w:t>
      </w:r>
    </w:p>
    <w:p w14:paraId="58A41AB8"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加强政策宣传、强化部门、院校协作配合，加强信息化建设，提高家庭经济困难学生资助工作水平。</w:t>
      </w:r>
    </w:p>
    <w:p w14:paraId="249F71EB">
      <w:pPr>
        <w:pStyle w:val="11"/>
        <w:spacing w:line="600" w:lineRule="exact"/>
        <w:ind w:firstLine="198" w:firstLineChars="62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附件1.项目支出绩效自评表（一个项目支出一张表）</w:t>
      </w:r>
    </w:p>
    <w:p w14:paraId="472C954D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257C7E4B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5A9E849C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045BABE9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38C29A30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0C508C0C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2E6EC0B3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50A4228F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6974F04D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48BF4A6D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5759A94C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sz w:val="32"/>
          <w:szCs w:val="32"/>
        </w:rPr>
      </w:pPr>
    </w:p>
    <w:p w14:paraId="65E690A7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both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>1</w:t>
      </w:r>
    </w:p>
    <w:p w14:paraId="50D14CF5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060D4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/>
            <w:vAlign w:val="center"/>
          </w:tcPr>
          <w:p w14:paraId="08824041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07E7B849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/>
            <w:vAlign w:val="center"/>
          </w:tcPr>
          <w:p w14:paraId="5F95849C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奖助学金</w:t>
            </w:r>
          </w:p>
        </w:tc>
      </w:tr>
      <w:tr w14:paraId="5FF8A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80" w:type="dxa"/>
            <w:noWrap/>
            <w:vAlign w:val="center"/>
          </w:tcPr>
          <w:p w14:paraId="46A0BC8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/>
            <w:vAlign w:val="center"/>
          </w:tcPr>
          <w:p w14:paraId="1F6CE6E7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/>
            <w:vAlign w:val="center"/>
          </w:tcPr>
          <w:p w14:paraId="2FE2E251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/>
            <w:vAlign w:val="center"/>
          </w:tcPr>
          <w:p w14:paraId="2E111252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怀化职业技术学院　</w:t>
            </w:r>
          </w:p>
        </w:tc>
      </w:tr>
      <w:tr w14:paraId="08A61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/>
            <w:vAlign w:val="center"/>
          </w:tcPr>
          <w:p w14:paraId="6101B87B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1A0F228C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/>
            <w:vAlign w:val="center"/>
          </w:tcPr>
          <w:p w14:paraId="51AD22DC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/>
            <w:vAlign w:val="center"/>
          </w:tcPr>
          <w:p w14:paraId="7A1F2F21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196003B2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/>
            <w:vAlign w:val="center"/>
          </w:tcPr>
          <w:p w14:paraId="137A7D23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5D1F6767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/>
            <w:vAlign w:val="center"/>
          </w:tcPr>
          <w:p w14:paraId="18CEC365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4F2ABF86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/>
            <w:vAlign w:val="center"/>
          </w:tcPr>
          <w:p w14:paraId="36025C9C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14:paraId="13A799DA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/>
            <w:vAlign w:val="center"/>
          </w:tcPr>
          <w:p w14:paraId="1FC5F71F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7BC6C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6721E1E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14:paraId="19E3C74A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/>
            <w:vAlign w:val="center"/>
          </w:tcPr>
          <w:p w14:paraId="52612518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/>
            <w:vAlign w:val="center"/>
          </w:tcPr>
          <w:p w14:paraId="73D8E0EF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935.55</w:t>
            </w:r>
          </w:p>
        </w:tc>
        <w:tc>
          <w:tcPr>
            <w:tcW w:w="1134" w:type="dxa"/>
            <w:noWrap/>
            <w:vAlign w:val="center"/>
          </w:tcPr>
          <w:p w14:paraId="623A1B25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935.55</w:t>
            </w:r>
          </w:p>
        </w:tc>
        <w:tc>
          <w:tcPr>
            <w:tcW w:w="828" w:type="dxa"/>
            <w:noWrap/>
            <w:vAlign w:val="center"/>
          </w:tcPr>
          <w:p w14:paraId="6A30510D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/>
            <w:vAlign w:val="center"/>
          </w:tcPr>
          <w:p w14:paraId="5AA24E2A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18" w:type="dxa"/>
            <w:noWrap/>
            <w:vAlign w:val="center"/>
          </w:tcPr>
          <w:p w14:paraId="1F9D976C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14:paraId="03992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14FB032D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14:paraId="7CB597CE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/>
            <w:vAlign w:val="center"/>
          </w:tcPr>
          <w:p w14:paraId="5D8DBE75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/>
            <w:vAlign w:val="center"/>
          </w:tcPr>
          <w:p w14:paraId="21D07BD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935.55</w:t>
            </w:r>
          </w:p>
        </w:tc>
        <w:tc>
          <w:tcPr>
            <w:tcW w:w="1134" w:type="dxa"/>
            <w:noWrap/>
            <w:vAlign w:val="center"/>
          </w:tcPr>
          <w:p w14:paraId="562B280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935.55</w:t>
            </w:r>
          </w:p>
        </w:tc>
        <w:tc>
          <w:tcPr>
            <w:tcW w:w="828" w:type="dxa"/>
            <w:noWrap/>
            <w:vAlign w:val="center"/>
          </w:tcPr>
          <w:p w14:paraId="50AAFD8A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/>
            <w:vAlign w:val="center"/>
          </w:tcPr>
          <w:p w14:paraId="4ACD7A0A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/>
            <w:vAlign w:val="center"/>
          </w:tcPr>
          <w:p w14:paraId="47CFA27B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7C1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24BFE100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14:paraId="702784A1">
            <w:pPr>
              <w:widowControl/>
              <w:spacing w:line="280" w:lineRule="exact"/>
              <w:ind w:firstLine="600" w:firstLineChars="300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/>
            <w:vAlign w:val="center"/>
          </w:tcPr>
          <w:p w14:paraId="3718073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/>
            <w:vAlign w:val="center"/>
          </w:tcPr>
          <w:p w14:paraId="2FD9335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3A92E466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/>
            <w:vAlign w:val="center"/>
          </w:tcPr>
          <w:p w14:paraId="3050F07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/>
            <w:vAlign w:val="center"/>
          </w:tcPr>
          <w:p w14:paraId="2C254BFD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/>
            <w:vAlign w:val="center"/>
          </w:tcPr>
          <w:p w14:paraId="2DE0E51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58E7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32DBA8EC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14:paraId="2FEC390E">
            <w:pPr>
              <w:widowControl/>
              <w:spacing w:line="280" w:lineRule="exact"/>
              <w:ind w:firstLine="600" w:firstLineChars="300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/>
            <w:vAlign w:val="center"/>
          </w:tcPr>
          <w:p w14:paraId="1455A75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/>
            <w:vAlign w:val="center"/>
          </w:tcPr>
          <w:p w14:paraId="350101CE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/>
            <w:vAlign w:val="center"/>
          </w:tcPr>
          <w:p w14:paraId="02AF0FD6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/>
            <w:vAlign w:val="center"/>
          </w:tcPr>
          <w:p w14:paraId="10FF299C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/>
            <w:vAlign w:val="center"/>
          </w:tcPr>
          <w:p w14:paraId="27EC073D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/>
            <w:vAlign w:val="center"/>
          </w:tcPr>
          <w:p w14:paraId="24DE772B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AEA9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/>
            <w:vAlign w:val="center"/>
          </w:tcPr>
          <w:p w14:paraId="453CABE5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/>
            <w:vAlign w:val="center"/>
          </w:tcPr>
          <w:p w14:paraId="439B5858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/>
            <w:vAlign w:val="center"/>
          </w:tcPr>
          <w:p w14:paraId="3998EDE1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1CC72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5493C47C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/>
            <w:vAlign w:val="center"/>
          </w:tcPr>
          <w:p w14:paraId="43E5A6B5">
            <w:pPr>
              <w:ind w:firstLine="400" w:firstLineChars="2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1、无学生因贫困失学；2、全面实施精准化资助，实施资助信息化管理；3、各项资助资金及时足额发放。</w:t>
            </w:r>
          </w:p>
        </w:tc>
        <w:tc>
          <w:tcPr>
            <w:tcW w:w="4253" w:type="dxa"/>
            <w:gridSpan w:val="4"/>
            <w:noWrap/>
            <w:vAlign w:val="center"/>
          </w:tcPr>
          <w:p w14:paraId="5C39498A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已按预期目标完成</w:t>
            </w:r>
          </w:p>
        </w:tc>
      </w:tr>
      <w:tr w14:paraId="7E750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/>
            <w:vAlign w:val="center"/>
          </w:tcPr>
          <w:p w14:paraId="1E37BC61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5B4286D7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223BC963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6AA9A84A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/>
            <w:vAlign w:val="center"/>
          </w:tcPr>
          <w:p w14:paraId="09AA0A1C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/>
            <w:vAlign w:val="center"/>
          </w:tcPr>
          <w:p w14:paraId="5B5284E0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/>
            <w:vAlign w:val="center"/>
          </w:tcPr>
          <w:p w14:paraId="07C061C4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/>
            <w:vAlign w:val="center"/>
          </w:tcPr>
          <w:p w14:paraId="7A734E41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348DFA57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/>
            <w:vAlign w:val="center"/>
          </w:tcPr>
          <w:p w14:paraId="45C9B6A5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6670A604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/>
            <w:vAlign w:val="center"/>
          </w:tcPr>
          <w:p w14:paraId="0A9DCBA3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14:paraId="6299DA12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/>
            <w:vAlign w:val="center"/>
          </w:tcPr>
          <w:p w14:paraId="434FC4AC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6638D60B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2D7862DA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727BC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6B6E6DE2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14:paraId="067A6506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产出指标</w:t>
            </w:r>
          </w:p>
          <w:p w14:paraId="20825CA4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（50分）</w:t>
            </w:r>
          </w:p>
        </w:tc>
        <w:tc>
          <w:tcPr>
            <w:tcW w:w="1080" w:type="dxa"/>
            <w:vMerge w:val="restart"/>
            <w:noWrap/>
            <w:vAlign w:val="center"/>
          </w:tcPr>
          <w:p w14:paraId="4428C1AA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数量指标</w:t>
            </w:r>
          </w:p>
        </w:tc>
        <w:tc>
          <w:tcPr>
            <w:tcW w:w="1149" w:type="dxa"/>
            <w:noWrap/>
            <w:vAlign w:val="center"/>
          </w:tcPr>
          <w:p w14:paraId="6A9A7889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国家奖学金</w:t>
            </w:r>
          </w:p>
        </w:tc>
        <w:tc>
          <w:tcPr>
            <w:tcW w:w="1209" w:type="dxa"/>
            <w:noWrap/>
            <w:vAlign w:val="center"/>
          </w:tcPr>
          <w:p w14:paraId="430F218C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7.2万元</w:t>
            </w:r>
          </w:p>
        </w:tc>
        <w:tc>
          <w:tcPr>
            <w:tcW w:w="1134" w:type="dxa"/>
            <w:noWrap/>
            <w:vAlign w:val="center"/>
          </w:tcPr>
          <w:p w14:paraId="3686C26A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7.2万元</w:t>
            </w:r>
          </w:p>
        </w:tc>
        <w:tc>
          <w:tcPr>
            <w:tcW w:w="828" w:type="dxa"/>
            <w:noWrap/>
            <w:vAlign w:val="center"/>
          </w:tcPr>
          <w:p w14:paraId="6ADD2C1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10</w:t>
            </w:r>
          </w:p>
        </w:tc>
        <w:tc>
          <w:tcPr>
            <w:tcW w:w="873" w:type="dxa"/>
            <w:noWrap/>
            <w:vAlign w:val="center"/>
          </w:tcPr>
          <w:p w14:paraId="41F0F7B9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10</w:t>
            </w:r>
          </w:p>
        </w:tc>
        <w:tc>
          <w:tcPr>
            <w:tcW w:w="1418" w:type="dxa"/>
            <w:noWrap/>
            <w:vAlign w:val="center"/>
          </w:tcPr>
          <w:p w14:paraId="545C42CE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00A0D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119EA4B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0E21237F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285B8905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149" w:type="dxa"/>
            <w:noWrap/>
            <w:vAlign w:val="center"/>
          </w:tcPr>
          <w:p w14:paraId="5AA43C0A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国家励志奖学金</w:t>
            </w:r>
          </w:p>
        </w:tc>
        <w:tc>
          <w:tcPr>
            <w:tcW w:w="1209" w:type="dxa"/>
            <w:noWrap/>
            <w:vAlign w:val="center"/>
          </w:tcPr>
          <w:p w14:paraId="69A02073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154万元</w:t>
            </w:r>
          </w:p>
        </w:tc>
        <w:tc>
          <w:tcPr>
            <w:tcW w:w="1134" w:type="dxa"/>
            <w:noWrap/>
            <w:vAlign w:val="center"/>
          </w:tcPr>
          <w:p w14:paraId="3F09CD4B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154万元</w:t>
            </w:r>
          </w:p>
        </w:tc>
        <w:tc>
          <w:tcPr>
            <w:tcW w:w="828" w:type="dxa"/>
            <w:noWrap/>
            <w:vAlign w:val="center"/>
          </w:tcPr>
          <w:p w14:paraId="7615973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10</w:t>
            </w:r>
          </w:p>
        </w:tc>
        <w:tc>
          <w:tcPr>
            <w:tcW w:w="873" w:type="dxa"/>
            <w:noWrap/>
            <w:vAlign w:val="center"/>
          </w:tcPr>
          <w:p w14:paraId="35568161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10</w:t>
            </w:r>
          </w:p>
        </w:tc>
        <w:tc>
          <w:tcPr>
            <w:tcW w:w="1418" w:type="dxa"/>
            <w:noWrap/>
            <w:vAlign w:val="center"/>
          </w:tcPr>
          <w:p w14:paraId="52AE37D6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6EA5B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369E209B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6B55A5AF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4FC22BE6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149" w:type="dxa"/>
            <w:noWrap/>
            <w:vAlign w:val="center"/>
          </w:tcPr>
          <w:p w14:paraId="671B042C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国家助学金</w:t>
            </w:r>
          </w:p>
        </w:tc>
        <w:tc>
          <w:tcPr>
            <w:tcW w:w="1209" w:type="dxa"/>
            <w:noWrap/>
            <w:vAlign w:val="center"/>
          </w:tcPr>
          <w:p w14:paraId="127C0239"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774.345万元</w:t>
            </w:r>
          </w:p>
        </w:tc>
        <w:tc>
          <w:tcPr>
            <w:tcW w:w="1134" w:type="dxa"/>
            <w:noWrap/>
            <w:vAlign w:val="center"/>
          </w:tcPr>
          <w:p w14:paraId="3A6E104F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774.345万元</w:t>
            </w:r>
          </w:p>
        </w:tc>
        <w:tc>
          <w:tcPr>
            <w:tcW w:w="828" w:type="dxa"/>
            <w:noWrap/>
            <w:vAlign w:val="center"/>
          </w:tcPr>
          <w:p w14:paraId="2B748B1B">
            <w:pPr>
              <w:widowControl/>
              <w:spacing w:line="280" w:lineRule="exact"/>
              <w:ind w:firstLine="130" w:firstLineChars="100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14:paraId="31094D92">
            <w:pPr>
              <w:widowControl/>
              <w:spacing w:line="280" w:lineRule="exact"/>
              <w:ind w:firstLine="130" w:firstLineChars="100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14:paraId="4CF1ADCF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</w:tr>
      <w:tr w14:paraId="4005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66FF646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6EBB2691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14:paraId="1CC38B81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质量指标</w:t>
            </w:r>
          </w:p>
        </w:tc>
        <w:tc>
          <w:tcPr>
            <w:tcW w:w="1149" w:type="dxa"/>
            <w:noWrap/>
            <w:vAlign w:val="center"/>
          </w:tcPr>
          <w:p w14:paraId="14CB8D09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国家助学金平均资助标准</w:t>
            </w:r>
          </w:p>
        </w:tc>
        <w:tc>
          <w:tcPr>
            <w:tcW w:w="1209" w:type="dxa"/>
            <w:noWrap/>
            <w:vAlign w:val="center"/>
          </w:tcPr>
          <w:p w14:paraId="5FEE5C72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每人3300元/年</w:t>
            </w:r>
          </w:p>
        </w:tc>
        <w:tc>
          <w:tcPr>
            <w:tcW w:w="1134" w:type="dxa"/>
            <w:noWrap/>
            <w:vAlign w:val="center"/>
          </w:tcPr>
          <w:p w14:paraId="565D7ADF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每人3300元/年</w:t>
            </w:r>
          </w:p>
        </w:tc>
        <w:tc>
          <w:tcPr>
            <w:tcW w:w="828" w:type="dxa"/>
            <w:noWrap/>
            <w:vAlign w:val="center"/>
          </w:tcPr>
          <w:p w14:paraId="5B3FA7B5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873" w:type="dxa"/>
            <w:noWrap/>
            <w:vAlign w:val="center"/>
          </w:tcPr>
          <w:p w14:paraId="3411BDC5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1418" w:type="dxa"/>
            <w:noWrap/>
            <w:vAlign w:val="center"/>
          </w:tcPr>
          <w:p w14:paraId="27AA0170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44F98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408D76B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0E0F82C7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0418C64B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149" w:type="dxa"/>
            <w:noWrap/>
            <w:vAlign w:val="center"/>
          </w:tcPr>
          <w:p w14:paraId="457BCEFD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实施分档资助</w:t>
            </w:r>
          </w:p>
        </w:tc>
        <w:tc>
          <w:tcPr>
            <w:tcW w:w="1209" w:type="dxa"/>
            <w:noWrap/>
            <w:vAlign w:val="center"/>
          </w:tcPr>
          <w:p w14:paraId="39C08C0A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分三档实施</w:t>
            </w:r>
          </w:p>
        </w:tc>
        <w:tc>
          <w:tcPr>
            <w:tcW w:w="1134" w:type="dxa"/>
            <w:noWrap/>
            <w:vAlign w:val="center"/>
          </w:tcPr>
          <w:p w14:paraId="2AC92417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分三档实施</w:t>
            </w:r>
          </w:p>
        </w:tc>
        <w:tc>
          <w:tcPr>
            <w:tcW w:w="828" w:type="dxa"/>
            <w:noWrap/>
            <w:vAlign w:val="center"/>
          </w:tcPr>
          <w:p w14:paraId="017A52A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873" w:type="dxa"/>
            <w:noWrap/>
            <w:vAlign w:val="center"/>
          </w:tcPr>
          <w:p w14:paraId="4CC0E73E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1418" w:type="dxa"/>
            <w:noWrap/>
            <w:vAlign w:val="center"/>
          </w:tcPr>
          <w:p w14:paraId="1F741FED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3D0FC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33307BF2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660FB67F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noWrap/>
            <w:vAlign w:val="center"/>
          </w:tcPr>
          <w:p w14:paraId="03D92033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时效指标</w:t>
            </w:r>
          </w:p>
        </w:tc>
        <w:tc>
          <w:tcPr>
            <w:tcW w:w="1149" w:type="dxa"/>
            <w:noWrap/>
            <w:vAlign w:val="center"/>
          </w:tcPr>
          <w:p w14:paraId="3BB4F3E2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资助资金及时足额发放</w:t>
            </w:r>
          </w:p>
        </w:tc>
        <w:tc>
          <w:tcPr>
            <w:tcW w:w="1209" w:type="dxa"/>
            <w:noWrap/>
            <w:vAlign w:val="center"/>
          </w:tcPr>
          <w:p w14:paraId="27FCF726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  <w:t>100%</w:t>
            </w:r>
          </w:p>
        </w:tc>
        <w:tc>
          <w:tcPr>
            <w:tcW w:w="1134" w:type="dxa"/>
            <w:noWrap/>
            <w:vAlign w:val="center"/>
          </w:tcPr>
          <w:p w14:paraId="2EA242AD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  <w:t>100%</w:t>
            </w:r>
          </w:p>
        </w:tc>
        <w:tc>
          <w:tcPr>
            <w:tcW w:w="828" w:type="dxa"/>
            <w:noWrap/>
            <w:vAlign w:val="center"/>
          </w:tcPr>
          <w:p w14:paraId="21E4A078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873" w:type="dxa"/>
            <w:noWrap/>
            <w:vAlign w:val="center"/>
          </w:tcPr>
          <w:p w14:paraId="5AECE938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1418" w:type="dxa"/>
            <w:noWrap/>
            <w:vAlign w:val="center"/>
          </w:tcPr>
          <w:p w14:paraId="4DBBEA1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1066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2172ADB8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477F362C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noWrap/>
            <w:vAlign w:val="center"/>
          </w:tcPr>
          <w:p w14:paraId="764E1703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成本指标</w:t>
            </w:r>
          </w:p>
        </w:tc>
        <w:tc>
          <w:tcPr>
            <w:tcW w:w="1149" w:type="dxa"/>
            <w:noWrap/>
            <w:vAlign w:val="center"/>
          </w:tcPr>
          <w:p w14:paraId="2CD5D6E9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指标分配完成率</w:t>
            </w:r>
          </w:p>
        </w:tc>
        <w:tc>
          <w:tcPr>
            <w:tcW w:w="1209" w:type="dxa"/>
            <w:noWrap/>
            <w:vAlign w:val="center"/>
          </w:tcPr>
          <w:p w14:paraId="22A2763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  <w:t>100%</w:t>
            </w:r>
          </w:p>
        </w:tc>
        <w:tc>
          <w:tcPr>
            <w:tcW w:w="1134" w:type="dxa"/>
            <w:noWrap/>
            <w:vAlign w:val="center"/>
          </w:tcPr>
          <w:p w14:paraId="4D9D35ED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  <w:t>100%</w:t>
            </w:r>
          </w:p>
        </w:tc>
        <w:tc>
          <w:tcPr>
            <w:tcW w:w="828" w:type="dxa"/>
            <w:noWrap/>
            <w:vAlign w:val="center"/>
          </w:tcPr>
          <w:p w14:paraId="232AB62B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873" w:type="dxa"/>
            <w:noWrap/>
            <w:vAlign w:val="center"/>
          </w:tcPr>
          <w:p w14:paraId="389B46C5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1418" w:type="dxa"/>
            <w:noWrap/>
            <w:vAlign w:val="center"/>
          </w:tcPr>
          <w:p w14:paraId="37F6C16B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50C48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58D76D06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14:paraId="5B7E5E30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效益指标</w:t>
            </w:r>
          </w:p>
          <w:p w14:paraId="19F03D91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（30分）</w:t>
            </w:r>
          </w:p>
        </w:tc>
        <w:tc>
          <w:tcPr>
            <w:tcW w:w="1080" w:type="dxa"/>
            <w:noWrap/>
            <w:vAlign w:val="center"/>
          </w:tcPr>
          <w:p w14:paraId="3076AD42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经济效</w:t>
            </w:r>
          </w:p>
          <w:p w14:paraId="53E17EB0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14:paraId="0CC60B3E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资助标准</w:t>
            </w:r>
          </w:p>
        </w:tc>
        <w:tc>
          <w:tcPr>
            <w:tcW w:w="1209" w:type="dxa"/>
            <w:noWrap/>
            <w:vAlign w:val="center"/>
          </w:tcPr>
          <w:p w14:paraId="24AA132E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稳定</w:t>
            </w:r>
          </w:p>
        </w:tc>
        <w:tc>
          <w:tcPr>
            <w:tcW w:w="1134" w:type="dxa"/>
            <w:noWrap/>
            <w:vAlign w:val="center"/>
          </w:tcPr>
          <w:p w14:paraId="2BAE9465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稳定</w:t>
            </w:r>
          </w:p>
        </w:tc>
        <w:tc>
          <w:tcPr>
            <w:tcW w:w="828" w:type="dxa"/>
            <w:noWrap/>
            <w:vAlign w:val="center"/>
          </w:tcPr>
          <w:p w14:paraId="637FA182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873" w:type="dxa"/>
            <w:noWrap/>
            <w:vAlign w:val="center"/>
          </w:tcPr>
          <w:p w14:paraId="3263E89F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1418" w:type="dxa"/>
            <w:noWrap/>
            <w:vAlign w:val="center"/>
          </w:tcPr>
          <w:p w14:paraId="3DDFE0EC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3AAFF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1EFAEAF8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1B14DFA6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noWrap/>
            <w:vAlign w:val="center"/>
          </w:tcPr>
          <w:p w14:paraId="0AD49596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社会效</w:t>
            </w:r>
          </w:p>
          <w:p w14:paraId="187B4A66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14:paraId="4CE1F9A7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学生资助政策知晓率</w:t>
            </w:r>
          </w:p>
        </w:tc>
        <w:tc>
          <w:tcPr>
            <w:tcW w:w="1209" w:type="dxa"/>
            <w:noWrap/>
            <w:vAlign w:val="center"/>
          </w:tcPr>
          <w:p w14:paraId="14336A4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  <w:t>100%</w:t>
            </w:r>
          </w:p>
        </w:tc>
        <w:tc>
          <w:tcPr>
            <w:tcW w:w="1134" w:type="dxa"/>
            <w:noWrap/>
            <w:vAlign w:val="center"/>
          </w:tcPr>
          <w:p w14:paraId="13806A1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90</w:t>
            </w:r>
            <w:r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  <w:t>%</w:t>
            </w:r>
          </w:p>
        </w:tc>
        <w:tc>
          <w:tcPr>
            <w:tcW w:w="828" w:type="dxa"/>
            <w:noWrap/>
            <w:vAlign w:val="center"/>
          </w:tcPr>
          <w:p w14:paraId="40723DA8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5</w:t>
            </w:r>
          </w:p>
        </w:tc>
        <w:tc>
          <w:tcPr>
            <w:tcW w:w="873" w:type="dxa"/>
            <w:noWrap/>
            <w:vAlign w:val="center"/>
          </w:tcPr>
          <w:p w14:paraId="79B43F4D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4</w:t>
            </w:r>
          </w:p>
        </w:tc>
        <w:tc>
          <w:tcPr>
            <w:tcW w:w="1418" w:type="dxa"/>
            <w:noWrap/>
            <w:vAlign w:val="center"/>
          </w:tcPr>
          <w:p w14:paraId="12ED750C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4C096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0C4DECBB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247F6AC6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noWrap/>
            <w:vAlign w:val="center"/>
          </w:tcPr>
          <w:p w14:paraId="472FE12E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生态效</w:t>
            </w:r>
          </w:p>
          <w:p w14:paraId="12DE84D8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14:paraId="7D9B11DB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因贫失学现象</w:t>
            </w:r>
          </w:p>
        </w:tc>
        <w:tc>
          <w:tcPr>
            <w:tcW w:w="1209" w:type="dxa"/>
            <w:noWrap/>
            <w:vAlign w:val="center"/>
          </w:tcPr>
          <w:p w14:paraId="4108F206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无</w:t>
            </w:r>
          </w:p>
        </w:tc>
        <w:tc>
          <w:tcPr>
            <w:tcW w:w="1134" w:type="dxa"/>
            <w:noWrap/>
            <w:vAlign w:val="center"/>
          </w:tcPr>
          <w:p w14:paraId="0F39A69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无</w:t>
            </w:r>
          </w:p>
        </w:tc>
        <w:tc>
          <w:tcPr>
            <w:tcW w:w="828" w:type="dxa"/>
            <w:noWrap/>
            <w:vAlign w:val="center"/>
          </w:tcPr>
          <w:p w14:paraId="31B81970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10</w:t>
            </w:r>
          </w:p>
        </w:tc>
        <w:tc>
          <w:tcPr>
            <w:tcW w:w="873" w:type="dxa"/>
            <w:noWrap/>
            <w:vAlign w:val="center"/>
          </w:tcPr>
          <w:p w14:paraId="7EB4B4D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10</w:t>
            </w:r>
          </w:p>
        </w:tc>
        <w:tc>
          <w:tcPr>
            <w:tcW w:w="1418" w:type="dxa"/>
            <w:noWrap/>
            <w:vAlign w:val="center"/>
          </w:tcPr>
          <w:p w14:paraId="758A0C5E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6387C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20A5C1C1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/>
            <w:vAlign w:val="center"/>
          </w:tcPr>
          <w:p w14:paraId="1206DF49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noWrap/>
            <w:vAlign w:val="center"/>
          </w:tcPr>
          <w:p w14:paraId="2CB0A2A7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可持续影响指标</w:t>
            </w:r>
          </w:p>
        </w:tc>
        <w:tc>
          <w:tcPr>
            <w:tcW w:w="1149" w:type="dxa"/>
            <w:noWrap/>
            <w:vAlign w:val="center"/>
          </w:tcPr>
          <w:p w14:paraId="0F5C9DD0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家庭经济困难学生资助需求</w:t>
            </w:r>
          </w:p>
        </w:tc>
        <w:tc>
          <w:tcPr>
            <w:tcW w:w="1209" w:type="dxa"/>
            <w:noWrap/>
            <w:vAlign w:val="center"/>
          </w:tcPr>
          <w:p w14:paraId="6F1EF06D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基本满足</w:t>
            </w:r>
          </w:p>
        </w:tc>
        <w:tc>
          <w:tcPr>
            <w:tcW w:w="1134" w:type="dxa"/>
            <w:noWrap/>
            <w:vAlign w:val="center"/>
          </w:tcPr>
          <w:p w14:paraId="10FA8AD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基本满足</w:t>
            </w:r>
          </w:p>
        </w:tc>
        <w:tc>
          <w:tcPr>
            <w:tcW w:w="828" w:type="dxa"/>
            <w:noWrap/>
            <w:vAlign w:val="center"/>
          </w:tcPr>
          <w:p w14:paraId="76AC72A0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10</w:t>
            </w:r>
          </w:p>
        </w:tc>
        <w:tc>
          <w:tcPr>
            <w:tcW w:w="873" w:type="dxa"/>
            <w:noWrap/>
            <w:vAlign w:val="center"/>
          </w:tcPr>
          <w:p w14:paraId="50B66A3F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10</w:t>
            </w:r>
          </w:p>
        </w:tc>
        <w:tc>
          <w:tcPr>
            <w:tcW w:w="1418" w:type="dxa"/>
            <w:noWrap/>
            <w:vAlign w:val="center"/>
          </w:tcPr>
          <w:p w14:paraId="0116D220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5AF81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/>
            <w:vAlign w:val="center"/>
          </w:tcPr>
          <w:p w14:paraId="6A74650A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14:paraId="0E55254D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满意度</w:t>
            </w:r>
          </w:p>
          <w:p w14:paraId="7384A754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指标</w:t>
            </w:r>
          </w:p>
          <w:p w14:paraId="43142FBC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（10分）</w:t>
            </w:r>
          </w:p>
        </w:tc>
        <w:tc>
          <w:tcPr>
            <w:tcW w:w="1080" w:type="dxa"/>
            <w:noWrap/>
            <w:vAlign w:val="center"/>
          </w:tcPr>
          <w:p w14:paraId="787820A0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服务对象满意度指标</w:t>
            </w:r>
          </w:p>
        </w:tc>
        <w:tc>
          <w:tcPr>
            <w:tcW w:w="1149" w:type="dxa"/>
            <w:noWrap/>
            <w:vAlign w:val="center"/>
          </w:tcPr>
          <w:p w14:paraId="33889875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受助学生满意度</w:t>
            </w:r>
          </w:p>
        </w:tc>
        <w:tc>
          <w:tcPr>
            <w:tcW w:w="1209" w:type="dxa"/>
            <w:noWrap/>
            <w:vAlign w:val="center"/>
          </w:tcPr>
          <w:p w14:paraId="1A4D7D93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  <w:t>100%</w:t>
            </w:r>
          </w:p>
        </w:tc>
        <w:tc>
          <w:tcPr>
            <w:tcW w:w="1134" w:type="dxa"/>
            <w:noWrap/>
            <w:vAlign w:val="center"/>
          </w:tcPr>
          <w:p w14:paraId="29D7254E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  <w:t>100%</w:t>
            </w:r>
          </w:p>
        </w:tc>
        <w:tc>
          <w:tcPr>
            <w:tcW w:w="828" w:type="dxa"/>
            <w:noWrap/>
            <w:vAlign w:val="center"/>
          </w:tcPr>
          <w:p w14:paraId="3DBEDDF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10</w:t>
            </w:r>
          </w:p>
        </w:tc>
        <w:tc>
          <w:tcPr>
            <w:tcW w:w="873" w:type="dxa"/>
            <w:noWrap/>
            <w:vAlign w:val="center"/>
          </w:tcPr>
          <w:p w14:paraId="5E55B174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10</w:t>
            </w:r>
          </w:p>
        </w:tc>
        <w:tc>
          <w:tcPr>
            <w:tcW w:w="1418" w:type="dxa"/>
            <w:noWrap/>
            <w:vAlign w:val="center"/>
          </w:tcPr>
          <w:p w14:paraId="1885AADA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</w:rPr>
              <w:t>　</w:t>
            </w:r>
          </w:p>
        </w:tc>
      </w:tr>
      <w:tr w14:paraId="0F339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/>
            <w:vAlign w:val="center"/>
          </w:tcPr>
          <w:p w14:paraId="7B665F86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/>
            <w:vAlign w:val="center"/>
          </w:tcPr>
          <w:p w14:paraId="216B9C28">
            <w:pPr>
              <w:widowControl/>
              <w:spacing w:line="28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/>
            <w:vAlign w:val="center"/>
          </w:tcPr>
          <w:p w14:paraId="38526367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99</w:t>
            </w:r>
          </w:p>
        </w:tc>
        <w:tc>
          <w:tcPr>
            <w:tcW w:w="1418" w:type="dxa"/>
            <w:noWrap/>
            <w:vAlign w:val="center"/>
          </w:tcPr>
          <w:p w14:paraId="4BBC3B16">
            <w:pPr>
              <w:widowControl/>
              <w:spacing w:line="280" w:lineRule="exact"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4A57303D">
      <w:pPr>
        <w:spacing w:line="600" w:lineRule="exact"/>
        <w:rPr>
          <w:rFonts w:hint="default" w:eastAsia="仿宋_GB2312"/>
          <w:lang w:val="en-US" w:eastAsia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24"/>
        </w:rPr>
        <w:t>填表人：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4"/>
          <w:lang w:eastAsia="zh-CN"/>
        </w:rPr>
        <w:t>向桑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4"/>
          <w:lang w:val="en-US" w:eastAsia="zh-CN"/>
        </w:rPr>
        <w:t xml:space="preserve">  </w:t>
      </w:r>
      <w:r>
        <w:rPr>
          <w:rFonts w:ascii="Times New Roman" w:hAnsi="Times New Roman" w:eastAsia="仿宋_GB2312" w:cs="Times New Roman"/>
          <w:color w:val="000000"/>
          <w:kern w:val="0"/>
          <w:sz w:val="24"/>
        </w:rPr>
        <w:t xml:space="preserve">  填报日期：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4"/>
        </w:rPr>
        <w:t>2024年6月30日</w:t>
      </w:r>
      <w:r>
        <w:rPr>
          <w:rFonts w:ascii="Times New Roman" w:hAnsi="Times New Roman" w:eastAsia="仿宋_GB2312" w:cs="Times New Roman"/>
          <w:color w:val="000000"/>
          <w:kern w:val="0"/>
          <w:sz w:val="24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4"/>
        </w:rPr>
        <w:t xml:space="preserve">      </w:t>
      </w:r>
      <w:r>
        <w:rPr>
          <w:rFonts w:ascii="Times New Roman" w:hAnsi="Times New Roman" w:eastAsia="仿宋_GB2312" w:cs="Times New Roman"/>
          <w:color w:val="000000"/>
          <w:kern w:val="0"/>
          <w:sz w:val="24"/>
        </w:rPr>
        <w:t>联系电话：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4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4"/>
          <w:lang w:val="en-US" w:eastAsia="zh-CN"/>
        </w:rPr>
        <w:t>17711754320</w:t>
      </w:r>
    </w:p>
    <w:p w14:paraId="68AAEB22">
      <w:pPr>
        <w:ind w:firstLine="160" w:firstLineChars="50"/>
        <w:rPr>
          <w:sz w:val="32"/>
          <w:szCs w:val="32"/>
        </w:rPr>
      </w:pPr>
    </w:p>
    <w:p w14:paraId="601E0AE5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6360A47B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36A6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0B13B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0B13B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yYjM1MTNhYTRhMjAxOGJhMzcyZmQwMWM5YjBkNDcifQ=="/>
  </w:docVars>
  <w:rsids>
    <w:rsidRoot w:val="00AB24A1"/>
    <w:rsid w:val="000067A5"/>
    <w:rsid w:val="000277E0"/>
    <w:rsid w:val="00040626"/>
    <w:rsid w:val="00040907"/>
    <w:rsid w:val="00041900"/>
    <w:rsid w:val="00063D8C"/>
    <w:rsid w:val="00072226"/>
    <w:rsid w:val="00076C85"/>
    <w:rsid w:val="00091220"/>
    <w:rsid w:val="00097ED3"/>
    <w:rsid w:val="000A34A5"/>
    <w:rsid w:val="000A4011"/>
    <w:rsid w:val="000B00F3"/>
    <w:rsid w:val="000B0A5B"/>
    <w:rsid w:val="00100A8E"/>
    <w:rsid w:val="001034E4"/>
    <w:rsid w:val="0011061F"/>
    <w:rsid w:val="001172D5"/>
    <w:rsid w:val="00117EA3"/>
    <w:rsid w:val="001226AD"/>
    <w:rsid w:val="00126D06"/>
    <w:rsid w:val="0013475E"/>
    <w:rsid w:val="00147D6D"/>
    <w:rsid w:val="00150CCA"/>
    <w:rsid w:val="0015659E"/>
    <w:rsid w:val="0016673C"/>
    <w:rsid w:val="0017449B"/>
    <w:rsid w:val="001773F4"/>
    <w:rsid w:val="001A14D5"/>
    <w:rsid w:val="001A23EE"/>
    <w:rsid w:val="001A41E7"/>
    <w:rsid w:val="001B3573"/>
    <w:rsid w:val="001B573D"/>
    <w:rsid w:val="001C01A1"/>
    <w:rsid w:val="001E541B"/>
    <w:rsid w:val="001F1FCF"/>
    <w:rsid w:val="001F73E7"/>
    <w:rsid w:val="001F7FE2"/>
    <w:rsid w:val="00205226"/>
    <w:rsid w:val="00211F96"/>
    <w:rsid w:val="00215949"/>
    <w:rsid w:val="00224DC1"/>
    <w:rsid w:val="0022642D"/>
    <w:rsid w:val="00233C98"/>
    <w:rsid w:val="00251FEC"/>
    <w:rsid w:val="00273D6D"/>
    <w:rsid w:val="002A46ED"/>
    <w:rsid w:val="002B18FD"/>
    <w:rsid w:val="002E1874"/>
    <w:rsid w:val="002E6ABE"/>
    <w:rsid w:val="002F1720"/>
    <w:rsid w:val="00305754"/>
    <w:rsid w:val="0030593C"/>
    <w:rsid w:val="0030607A"/>
    <w:rsid w:val="003067A0"/>
    <w:rsid w:val="00307E03"/>
    <w:rsid w:val="003105FE"/>
    <w:rsid w:val="003305BB"/>
    <w:rsid w:val="00333FF2"/>
    <w:rsid w:val="003370B5"/>
    <w:rsid w:val="003371FF"/>
    <w:rsid w:val="0034495B"/>
    <w:rsid w:val="00356538"/>
    <w:rsid w:val="00365928"/>
    <w:rsid w:val="00391046"/>
    <w:rsid w:val="003970F2"/>
    <w:rsid w:val="003A146C"/>
    <w:rsid w:val="003C568A"/>
    <w:rsid w:val="003D17EF"/>
    <w:rsid w:val="003D7547"/>
    <w:rsid w:val="003F794E"/>
    <w:rsid w:val="00402D4C"/>
    <w:rsid w:val="004168B9"/>
    <w:rsid w:val="00417791"/>
    <w:rsid w:val="0043561A"/>
    <w:rsid w:val="004410C8"/>
    <w:rsid w:val="004422C2"/>
    <w:rsid w:val="004515E2"/>
    <w:rsid w:val="004576F4"/>
    <w:rsid w:val="00457E90"/>
    <w:rsid w:val="004839EF"/>
    <w:rsid w:val="00486AF4"/>
    <w:rsid w:val="004A1AA0"/>
    <w:rsid w:val="004A4DF3"/>
    <w:rsid w:val="004A611E"/>
    <w:rsid w:val="004C0A02"/>
    <w:rsid w:val="004C0F9E"/>
    <w:rsid w:val="004C3766"/>
    <w:rsid w:val="004C78B3"/>
    <w:rsid w:val="00506F62"/>
    <w:rsid w:val="0050741D"/>
    <w:rsid w:val="00523157"/>
    <w:rsid w:val="0052416F"/>
    <w:rsid w:val="00530146"/>
    <w:rsid w:val="005323E3"/>
    <w:rsid w:val="00537DC7"/>
    <w:rsid w:val="0054167E"/>
    <w:rsid w:val="00542237"/>
    <w:rsid w:val="005439E4"/>
    <w:rsid w:val="0054573B"/>
    <w:rsid w:val="00545D14"/>
    <w:rsid w:val="00551CA6"/>
    <w:rsid w:val="005677D6"/>
    <w:rsid w:val="00572CD7"/>
    <w:rsid w:val="00581E31"/>
    <w:rsid w:val="00584B16"/>
    <w:rsid w:val="00586465"/>
    <w:rsid w:val="00597663"/>
    <w:rsid w:val="005A1FE5"/>
    <w:rsid w:val="005C3F5E"/>
    <w:rsid w:val="005D19EF"/>
    <w:rsid w:val="005D3327"/>
    <w:rsid w:val="005F4304"/>
    <w:rsid w:val="00600DF4"/>
    <w:rsid w:val="00602435"/>
    <w:rsid w:val="006106FE"/>
    <w:rsid w:val="006147C9"/>
    <w:rsid w:val="00616148"/>
    <w:rsid w:val="00646792"/>
    <w:rsid w:val="00652EB8"/>
    <w:rsid w:val="00654E9C"/>
    <w:rsid w:val="006606D5"/>
    <w:rsid w:val="0066783E"/>
    <w:rsid w:val="00675ADA"/>
    <w:rsid w:val="0067691A"/>
    <w:rsid w:val="00684B71"/>
    <w:rsid w:val="00687A6B"/>
    <w:rsid w:val="006A0ADD"/>
    <w:rsid w:val="006A1339"/>
    <w:rsid w:val="00700AB9"/>
    <w:rsid w:val="00712595"/>
    <w:rsid w:val="00713657"/>
    <w:rsid w:val="00731D99"/>
    <w:rsid w:val="007659EB"/>
    <w:rsid w:val="007753A2"/>
    <w:rsid w:val="00777C85"/>
    <w:rsid w:val="00780DF7"/>
    <w:rsid w:val="007827FB"/>
    <w:rsid w:val="007A03DE"/>
    <w:rsid w:val="007A1281"/>
    <w:rsid w:val="007A1E1F"/>
    <w:rsid w:val="007C65B6"/>
    <w:rsid w:val="007E51C4"/>
    <w:rsid w:val="007E53FC"/>
    <w:rsid w:val="007F6633"/>
    <w:rsid w:val="007F781D"/>
    <w:rsid w:val="00807F90"/>
    <w:rsid w:val="00810384"/>
    <w:rsid w:val="008136B9"/>
    <w:rsid w:val="008224AF"/>
    <w:rsid w:val="008224E5"/>
    <w:rsid w:val="00833B70"/>
    <w:rsid w:val="00834A55"/>
    <w:rsid w:val="00866AAF"/>
    <w:rsid w:val="00872826"/>
    <w:rsid w:val="00874387"/>
    <w:rsid w:val="008803FB"/>
    <w:rsid w:val="00880917"/>
    <w:rsid w:val="00887246"/>
    <w:rsid w:val="008A1345"/>
    <w:rsid w:val="008B1308"/>
    <w:rsid w:val="008C6EAD"/>
    <w:rsid w:val="008E6187"/>
    <w:rsid w:val="0090752D"/>
    <w:rsid w:val="00913B46"/>
    <w:rsid w:val="009168D8"/>
    <w:rsid w:val="00921F1F"/>
    <w:rsid w:val="00932F1D"/>
    <w:rsid w:val="009376F1"/>
    <w:rsid w:val="00952F7E"/>
    <w:rsid w:val="0097020A"/>
    <w:rsid w:val="00974021"/>
    <w:rsid w:val="00985913"/>
    <w:rsid w:val="00987219"/>
    <w:rsid w:val="00987229"/>
    <w:rsid w:val="009960BA"/>
    <w:rsid w:val="009A0840"/>
    <w:rsid w:val="009D03FB"/>
    <w:rsid w:val="009D741B"/>
    <w:rsid w:val="009E6E4A"/>
    <w:rsid w:val="009F6946"/>
    <w:rsid w:val="00A1049C"/>
    <w:rsid w:val="00A13BBB"/>
    <w:rsid w:val="00A4758A"/>
    <w:rsid w:val="00A4789E"/>
    <w:rsid w:val="00A502D6"/>
    <w:rsid w:val="00A54412"/>
    <w:rsid w:val="00A61CC6"/>
    <w:rsid w:val="00AB1627"/>
    <w:rsid w:val="00AB24A1"/>
    <w:rsid w:val="00AD1BA3"/>
    <w:rsid w:val="00AD5B60"/>
    <w:rsid w:val="00AE1A41"/>
    <w:rsid w:val="00AE2557"/>
    <w:rsid w:val="00AE286C"/>
    <w:rsid w:val="00AF2FC9"/>
    <w:rsid w:val="00B060B4"/>
    <w:rsid w:val="00B10780"/>
    <w:rsid w:val="00B149B9"/>
    <w:rsid w:val="00B25AE9"/>
    <w:rsid w:val="00B34DA0"/>
    <w:rsid w:val="00B37218"/>
    <w:rsid w:val="00B53AC2"/>
    <w:rsid w:val="00B61B02"/>
    <w:rsid w:val="00B62EAB"/>
    <w:rsid w:val="00B73237"/>
    <w:rsid w:val="00B766C7"/>
    <w:rsid w:val="00B77BEC"/>
    <w:rsid w:val="00B85E01"/>
    <w:rsid w:val="00B86857"/>
    <w:rsid w:val="00B92A1C"/>
    <w:rsid w:val="00BA043B"/>
    <w:rsid w:val="00BB008E"/>
    <w:rsid w:val="00BB290B"/>
    <w:rsid w:val="00BB508E"/>
    <w:rsid w:val="00BC3FED"/>
    <w:rsid w:val="00BD3E3A"/>
    <w:rsid w:val="00BE5E95"/>
    <w:rsid w:val="00BF12D5"/>
    <w:rsid w:val="00BF582C"/>
    <w:rsid w:val="00C078B4"/>
    <w:rsid w:val="00C10954"/>
    <w:rsid w:val="00C10ABB"/>
    <w:rsid w:val="00C168E0"/>
    <w:rsid w:val="00C21D67"/>
    <w:rsid w:val="00C31061"/>
    <w:rsid w:val="00C64E26"/>
    <w:rsid w:val="00C676B0"/>
    <w:rsid w:val="00C70D10"/>
    <w:rsid w:val="00C77317"/>
    <w:rsid w:val="00C77D7D"/>
    <w:rsid w:val="00C82E17"/>
    <w:rsid w:val="00C944F0"/>
    <w:rsid w:val="00CA71B1"/>
    <w:rsid w:val="00CB28CA"/>
    <w:rsid w:val="00CC1E39"/>
    <w:rsid w:val="00CC3092"/>
    <w:rsid w:val="00CE2CE2"/>
    <w:rsid w:val="00CE2D7F"/>
    <w:rsid w:val="00D12690"/>
    <w:rsid w:val="00D2156D"/>
    <w:rsid w:val="00D3394A"/>
    <w:rsid w:val="00D52D0C"/>
    <w:rsid w:val="00D5473E"/>
    <w:rsid w:val="00D55110"/>
    <w:rsid w:val="00D5522E"/>
    <w:rsid w:val="00D553F7"/>
    <w:rsid w:val="00D656CF"/>
    <w:rsid w:val="00D72158"/>
    <w:rsid w:val="00D72826"/>
    <w:rsid w:val="00D72E4B"/>
    <w:rsid w:val="00D73351"/>
    <w:rsid w:val="00D75D86"/>
    <w:rsid w:val="00D8064E"/>
    <w:rsid w:val="00D81177"/>
    <w:rsid w:val="00D84CCB"/>
    <w:rsid w:val="00D97240"/>
    <w:rsid w:val="00D97428"/>
    <w:rsid w:val="00DD02BD"/>
    <w:rsid w:val="00DD10CE"/>
    <w:rsid w:val="00DF292E"/>
    <w:rsid w:val="00E01A6D"/>
    <w:rsid w:val="00E12201"/>
    <w:rsid w:val="00E160AF"/>
    <w:rsid w:val="00E16D28"/>
    <w:rsid w:val="00E2193E"/>
    <w:rsid w:val="00E21F44"/>
    <w:rsid w:val="00E23E21"/>
    <w:rsid w:val="00E26883"/>
    <w:rsid w:val="00E31B19"/>
    <w:rsid w:val="00E376A9"/>
    <w:rsid w:val="00E6251F"/>
    <w:rsid w:val="00E65E71"/>
    <w:rsid w:val="00E81B67"/>
    <w:rsid w:val="00EF6719"/>
    <w:rsid w:val="00F17CFA"/>
    <w:rsid w:val="00F3785E"/>
    <w:rsid w:val="00F40FD6"/>
    <w:rsid w:val="00F41965"/>
    <w:rsid w:val="00F558CC"/>
    <w:rsid w:val="00F74F6B"/>
    <w:rsid w:val="00F77DD8"/>
    <w:rsid w:val="00F80671"/>
    <w:rsid w:val="00F823B4"/>
    <w:rsid w:val="00F849E6"/>
    <w:rsid w:val="00F863ED"/>
    <w:rsid w:val="00F86659"/>
    <w:rsid w:val="00FB0035"/>
    <w:rsid w:val="00FC0A7C"/>
    <w:rsid w:val="00FC33A4"/>
    <w:rsid w:val="00FD0C5A"/>
    <w:rsid w:val="00FE3DDB"/>
    <w:rsid w:val="00FE6A6C"/>
    <w:rsid w:val="042A7450"/>
    <w:rsid w:val="07724E37"/>
    <w:rsid w:val="07841680"/>
    <w:rsid w:val="083E2F6B"/>
    <w:rsid w:val="09BB1894"/>
    <w:rsid w:val="0D6C400C"/>
    <w:rsid w:val="15532C0C"/>
    <w:rsid w:val="156404B5"/>
    <w:rsid w:val="1598015F"/>
    <w:rsid w:val="16726C02"/>
    <w:rsid w:val="16CB67C4"/>
    <w:rsid w:val="176302F9"/>
    <w:rsid w:val="182D42C1"/>
    <w:rsid w:val="19A20DEF"/>
    <w:rsid w:val="1F770DE5"/>
    <w:rsid w:val="2A8E65A7"/>
    <w:rsid w:val="2C770676"/>
    <w:rsid w:val="2ECD3056"/>
    <w:rsid w:val="30A622B1"/>
    <w:rsid w:val="3316226B"/>
    <w:rsid w:val="355B00FA"/>
    <w:rsid w:val="36001736"/>
    <w:rsid w:val="37270EEB"/>
    <w:rsid w:val="3C746980"/>
    <w:rsid w:val="3FDA6513"/>
    <w:rsid w:val="40EE3293"/>
    <w:rsid w:val="41FB71FC"/>
    <w:rsid w:val="467D28D5"/>
    <w:rsid w:val="47284936"/>
    <w:rsid w:val="4A315EB1"/>
    <w:rsid w:val="4B2D0745"/>
    <w:rsid w:val="4C0D26F2"/>
    <w:rsid w:val="4FE102A3"/>
    <w:rsid w:val="50406E4E"/>
    <w:rsid w:val="52036385"/>
    <w:rsid w:val="54F83030"/>
    <w:rsid w:val="564978FD"/>
    <w:rsid w:val="598004E4"/>
    <w:rsid w:val="5F5917A7"/>
    <w:rsid w:val="60E05B3D"/>
    <w:rsid w:val="61BD35D1"/>
    <w:rsid w:val="62A6057B"/>
    <w:rsid w:val="657B5C23"/>
    <w:rsid w:val="691C5356"/>
    <w:rsid w:val="695D4175"/>
    <w:rsid w:val="6A605C2E"/>
    <w:rsid w:val="6F372D76"/>
    <w:rsid w:val="7012432C"/>
    <w:rsid w:val="72A91F16"/>
    <w:rsid w:val="754206C3"/>
    <w:rsid w:val="7E7445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 w:asciiTheme="minorHAnsi" w:hAnsiTheme="minorHAnsi" w:eastAsiaTheme="minorEastAsia"/>
      <w:kern w:val="0"/>
      <w:sz w:val="24"/>
      <w:szCs w:val="24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无间隔1"/>
    <w:qFormat/>
    <w:uiPriority w:val="1"/>
    <w:pPr>
      <w:adjustRightInd w:val="0"/>
      <w:snapToGrid w:val="0"/>
      <w:spacing w:line="360" w:lineRule="auto"/>
      <w:ind w:firstLine="200" w:firstLineChars="200"/>
    </w:pPr>
    <w:rPr>
      <w:rFonts w:ascii="Tahoma" w:hAnsi="Tahoma" w:eastAsia="仿宋_GB2312" w:cs="Times New Roman"/>
      <w:sz w:val="32"/>
      <w:szCs w:val="22"/>
      <w:lang w:val="en-US" w:eastAsia="zh-CN" w:bidi="ar-SA"/>
    </w:rPr>
  </w:style>
  <w:style w:type="character" w:customStyle="1" w:styleId="12">
    <w:name w:val="标题 3 字符"/>
    <w:basedOn w:val="7"/>
    <w:link w:val="2"/>
    <w:qFormat/>
    <w:uiPriority w:val="9"/>
    <w:rPr>
      <w:rFonts w:ascii="宋体" w:hAnsi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2732</Words>
  <Characters>2989</Characters>
  <Lines>23</Lines>
  <Paragraphs>6</Paragraphs>
  <TotalTime>10</TotalTime>
  <ScaleCrop>false</ScaleCrop>
  <LinksUpToDate>false</LinksUpToDate>
  <CharactersWithSpaces>3092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2024-07-07T00:01:00Z</dcterms:created>
  <dc:creator>微软用户</dc:creator>
  <cp:lastModifiedBy>Babycherie</cp:lastModifiedBy>
  <cp:lastPrinted>2023-04-24T08:30:00Z</cp:lastPrinted>
  <dcterms:modified xsi:type="dcterms:W3CDTF">2024-09-18T07:27:04Z</dcterms:modified>
  <dc:title>怀化职业技术学院</dc:title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AADF454247984AFCBBCF9E57B34F3FF3_13</vt:lpwstr>
  </property>
</Properties>
</file>